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17a AÜG — Befugnisse der Behörden der Zollverwaltung</w:t>
      </w:r>
    </w:p>
    <w:p>
      <w:r>
        <w:rPr>
          <w:color w:val="555555"/>
          <w:sz w:val="18"/>
        </w:rPr>
        <w:t xml:space="preserve">Arbeitnehmerüberlassungsgesetz</w:t>
      </w:r>
    </w:p>
    <w:p>
      <w:r>
        <w:rPr>
          <w:color w:val="555555"/>
          <w:sz w:val="18"/>
        </w:rPr>
        <w:t xml:space="preserve">Stand: 08.01.2026 (konsolidierte Textfassung, kein amtliches Inkrafttretensdatum)</w:t>
      </w:r>
    </w:p>
    <w:p>
      <w:r>
        <w:t xml:space="preserve">Die §§ 2, 3 bis 7, 13, 14, 15 bis 20, 22 und 23 des Schwarzarbeitsbekämpfungsgesetzes sind entsprechend anzuwenden mit der Maßgabe, dass die dort genannten Behörden auch Einsicht in Arbeitsverträge, Niederschriften nach § 2 des Nachweisgesetzes und andere Geschäftsunterlagen nehmen können, die mittelbar oder unmittelbar Auskunft über die Einhaltung der Arbeitsbedingungen nach § 8 Absatz 5 geben. Entsandte Arbeitnehmerinnen und Arbeitnehmer können im Rahmen der Prüfungen nach dem Schwarzarbeitsbekämpfungsgesetz auch nach dem Abschluss der Entsendung kontaktiert werden.</w:t>
      </w:r>
    </w:p>
    <w:p>
      <w:r>
        <w:rPr>
          <w:color w:val="555555"/>
          <w:sz w:val="17"/>
        </w:rPr>
        <w:t xml:space="preserve">Zitiervorschlag: § 17a AÜG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https://recht.nulegal.eu/gesetze/A%C3%9CG/17a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