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AÜG — Durchführung</w:t>
      </w:r>
    </w:p>
    <w:p>
      <w:r>
        <w:rPr>
          <w:color w:val="555555"/>
          <w:sz w:val="18"/>
        </w:rPr>
        <w:t xml:space="preserve">Arbeitnehmerüberlassungsgesetz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Bundesagentur für Arbeit führt dieses Gesetz nach fachlichen Weisungen des Bundesministeriums für Arbeit und Soziales durch. Verwaltungskosten werden nicht erstattet.</w:t>
      </w:r>
    </w:p>
    <w:p>
      <w:r>
        <w:t xml:space="preserve">(2) Die Prüfung der Arbeitsbedingungen nach § 8 Absatz 5 obliegt zudem den Behörden der Zollverwaltung nach Maßgabe der §§ 17a bis 18a.</w:t>
      </w:r>
    </w:p>
    <w:p>
      <w:r>
        <w:rPr>
          <w:color w:val="555555"/>
          <w:sz w:val="17"/>
        </w:rPr>
        <w:t xml:space="preserve">Zitiervorschlag: § 17 AÜG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https://recht.nulegal.eu/gesetze/A%C3%9CG/17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