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AÜG — Zugang des Leiharbeitnehmers zu Gemeinschaftseinrichtungen oder -diensten</w:t>
      </w:r>
    </w:p>
    <w:p>
      <w:r>
        <w:rPr>
          <w:color w:val="555555"/>
          <w:sz w:val="18"/>
        </w:rPr>
        <w:t xml:space="preserve">Arbeitnehmerüberlassungsgesetz</w:t>
      </w:r>
    </w:p>
    <w:p>
      <w:r>
        <w:rPr>
          <w:color w:val="555555"/>
          <w:sz w:val="18"/>
        </w:rPr>
        <w:t xml:space="preserve">Stand: 10.06.2019 (konsolidierte Textfassung, kein amtliches Inkrafttretensdatum)</w:t>
      </w:r>
    </w:p>
    <w:p>
      <w:r>
        <w:t xml:space="preserve">Der Entleiher hat dem Leiharbeitnehmer Zugang zu den Gemeinschaftseinrichtungen oder -diensten im Unternehmen unter den gleichen Bedingungen zu gewähren wie vergleichbaren Arbeitnehmern in dem Betrieb, in dem der Leiharbeitnehmer seine Arbeitsleistung erbringt, es sei denn, eine unterschiedliche Behandlung ist aus sachlichen Gründen gerechtfertigt. Gemeinschaftseinrichtungen oder -dienste im Sinne des Satzes 1 sind insbesondere Kinderbetreuungseinrichtungen, Gemeinschaftsverpflegung und Beförderungsmittel.</w:t>
      </w:r>
    </w:p>
    <w:p>
      <w:r>
        <w:rPr>
          <w:color w:val="555555"/>
          <w:sz w:val="17"/>
        </w:rPr>
        <w:t xml:space="preserve">Zitiervorschlag: § 13b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