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10a AÜG — Rechtsfolgen bei Überlassung durch eine andere Person als den Arbeitgeber</w:t>
      </w:r>
    </w:p>
    <w:p>
      <w:r>
        <w:rPr>
          <w:color w:val="555555"/>
          <w:sz w:val="18"/>
        </w:rPr>
        <w:t xml:space="preserve">Arbeitnehmerüberlassungsgesetz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Werden Arbeitnehmer entgegen § 1 Absatz 1 Satz 3 von einer anderen Person überlassen und verstößt diese Person hierbei gegen § 1 Absatz 1 Satz 1, 5 und 6 oder Absatz 1b, gelten für das Arbeitsverhältnis des Leiharbeitnehmers § 9 Absatz 1 Nummer 1 bis 1b und § 10 entsprechend.</w:t>
      </w:r>
    </w:p>
    <w:p>
      <w:r>
        <w:rPr>
          <w:color w:val="555555"/>
          <w:sz w:val="17"/>
        </w:rPr>
        <w:t xml:space="preserve">Zitiervorschlag: § 10a AÜG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https://recht.nulegal.eu/gesetze/A%C3%9CG/10a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