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8. ErhZV (Brandenburg) — Erhaltungsziele</w:t>
      </w:r>
    </w:p>
    <w:p>
      <w:r>
        <w:rPr>
          <w:color w:val="555555"/>
          <w:sz w:val="18"/>
        </w:rPr>
        <w:t xml:space="preserve">Achte Erhaltungszielverordnung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Die in Anlage 1 genannten Gebiete von gemeinschaftlicher Bedeutung stehen unter besonderem Schutz. Erhaltungsziel für das jeweilige Gebiet ist die Erhaltung oder Wiederherstellung eines günstigen Erhaltungszustandes (§ 7 Absatz 1 Nummer 10 des Bundesnaturschutzgesetzes) der in Anlage 2 für das jeweilige Gebiet genannten natürlichen Lebensraumtypen oder Tier- und Pflanzenarten von gemeinschaftlichem Interesse. In den Anlagen 3 und 4 werden für die in Anlage 1 aufgeführten Gebiete ökologische Erfordernisse für einen günstigen Erhaltungszustand der natürlichen Lebensraumtypen nach Anhang I und der Tier- und Pflanzenarten nach Anhang II der Richtlinie 92/43/EWG beschrieben.</w:t>
      </w:r>
    </w:p>
    <w:p>
      <w:r>
        <w:t xml:space="preserve">(2) Soweit das Gebiet von gemeinschaftlicher Bedeutung „Stoßdorfer See“ flächengleich mit dem Naturschutzgebiet „Ostufer Stoßdorfer See“ ist, ergeben sich gemäß § 32 Absatz 3 des Bundesnaturschutzgesetzes die Erhaltungsziele aus der Verordnung über das Naturschutzgebiet. Die im Gebiet anwendbare Schutzgebietsverordnung ist in Anlage 2 aufgeführt.</w:t>
      </w:r>
    </w:p>
    <w:p>
      <w:r>
        <w:t xml:space="preserve">Einzelnorm</w:t>
      </w:r>
    </w:p>
    <w:p>
      <w:r>
        <w:rPr>
          <w:color w:val="555555"/>
          <w:sz w:val="17"/>
        </w:rPr>
        <w:t xml:space="preserve">Zitiervorschlag: § 2 8. ErhZV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https://recht.nulegal.eu/gesetze/8.%20ErhZV/2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