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7.GemGlG (Brandenburg)</w:t>
      </w:r>
    </w:p>
    <w:p>
      <w:r>
        <w:rPr>
          <w:color w:val="555555"/>
          <w:sz w:val="18"/>
        </w:rPr>
        <w:t xml:space="preserve">Siebentes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Potsdam, den 7. Juli 1997</w:t>
      </w:r>
    </w:p>
    <w:p>
      <w:r>
        <w:t xml:space="preserve">Der Präsident des Landtages Brandenburg</w:t>
      </w:r>
    </w:p>
    <w:p>
      <w:r>
        <w:t xml:space="preserve">Dr. Herbert Knoblich</w:t>
      </w:r>
    </w:p>
    <w:p>
      <w:r>
        <w:t xml:space="preserve">Anm.: die Anlagen wurden nicht aufgenommen.</w:t>
      </w:r>
    </w:p>
    <w:p>
      <w:r>
        <w:rPr>
          <w:color w:val="555555"/>
          <w:sz w:val="17"/>
        </w:rPr>
        <w:t xml:space="preserve">Zitiervorschlag: § 3 7.GemGlG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https://recht.nulegal.eu/gesetze/7.GemGlG/3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