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7.GemGlG (Brandenburg)</w:t>
      </w:r>
    </w:p>
    <w:p>
      <w:r>
        <w:rPr>
          <w:color w:val="555555"/>
          <w:sz w:val="18"/>
        </w:rPr>
        <w:t xml:space="preserve">Siebentes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Gemeinden Stolpe und Stolpe-Süd werden in den Grenzen ihrer Gemarkung Eigentümer der gemeindeeigenen Grundstücke, die dem Gemeingebrauch</w:t>
      </w:r>
    </w:p>
    <w:p>
      <w:r>
        <w:t xml:space="preserve">gewidmet sind.</w:t>
      </w:r>
    </w:p>
    <w:p>
      <w:r>
        <w:rPr>
          <w:color w:val="555555"/>
          <w:sz w:val="17"/>
        </w:rPr>
        <w:t xml:space="preserve">Zitiervorschlag: § 2 7.GemGlG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https://recht.nulegal.eu/gesetze/7.GemGlG/2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