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6MEDIENAENDSTV (Brandenburg)</w:t>
      </w:r>
    </w:p>
    <w:p>
      <w:r>
        <w:rPr>
          <w:color w:val="555555"/>
          <w:sz w:val="18"/>
        </w:rPr>
        <w:t xml:space="preserve">Gesetz zum Sechsten Staatsvertrag zur Änderung medienrechtlicher Staatsverträge (Sechster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Durch dieses Gesetz wird das Grundrecht auf informationelle Selbstbestimmung (Artikel 2 Absatz 1 in Verbindung mit Artikel 1 Absatz 1 des Grundgesetzes), das Grundrecht auf Datenschutz (Artikel 11 Absatz 1 der Verfassung des Landes Brandenburg) und das Grundrecht der Berufsfreiheit (Artikel 49 Absatz 1 Satz 1 der Verfassung des Landes Brandenburg) eingeschränkt.</w:t>
      </w:r>
    </w:p>
    <w:p>
      <w:r>
        <w:rPr>
          <w:color w:val="555555"/>
          <w:sz w:val="17"/>
        </w:rPr>
        <w:t xml:space="preserve">Zitiervorschlag: § 2 6MEDIENAENDSTV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https://recht.nulegal.eu/gesetze/6MEDIENAENDSTV/2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