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6.GemGlG (Brandenburg) — Inkrafttreten</w:t>
      </w:r>
    </w:p>
    <w:p>
      <w:r>
        <w:rPr>
          <w:color w:val="555555"/>
          <w:sz w:val="18"/>
        </w:rPr>
        <w:t xml:space="preserve">Sechstes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Potsdam, den 14. Oktober 1996</w:t>
      </w:r>
    </w:p>
    <w:p>
      <w:r>
        <w:t xml:space="preserve">Der Präsident des Landtages Brandenburg</w:t>
      </w:r>
    </w:p>
    <w:p>
      <w:r>
        <w:t xml:space="preserve">Dr. Herbert Knoblich</w:t>
      </w:r>
    </w:p>
    <w:p>
      <w:r>
        <w:t xml:space="preserve">Anlage 1 und 2 nicht aufgenommen.</w:t>
      </w:r>
    </w:p>
    <w:p>
      <w:r>
        <w:rPr>
          <w:color w:val="555555"/>
          <w:sz w:val="17"/>
        </w:rPr>
        <w:t xml:space="preserve">Zitiervorschlag: § 2 6.GemGlG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https://recht.nulegal.eu/gesetze/6.GemGlG/2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