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6.GemGebRefGBbg (Brandenburg) — Verwaltungseinheit Amt Märkische Heide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Alt-Schadow, Dollgen, Dürrenhofe,</w:t>
      </w:r>
    </w:p>
    <w:p>
      <w:r>
        <w:t xml:space="preserve">Gröditsch, Groß Leine, Hohenbrück-Neu Schadow, Krugau, Kuschkow</w:t>
      </w:r>
    </w:p>
    <w:p>
      <w:r>
        <w:t xml:space="preserve">und Pretschen werden in die zum Tag der nächsten landesweiten</w:t>
      </w:r>
    </w:p>
    <w:p>
      <w:r>
        <w:t xml:space="preserve">Kommunalwahlen neu gebildete Gemeinde Märkische Heide eingegliedert.</w:t>
      </w:r>
    </w:p>
    <w:p>
      <w:r>
        <w:t xml:space="preserve">(2) Das Amt Märkische Heide wird aufgelöst. Die</w:t>
      </w:r>
    </w:p>
    <w:p>
      <w:r>
        <w:t xml:space="preserve">Gemeinde Märkische Heide ist amtsfrei.</w:t>
      </w:r>
    </w:p>
    <w:p>
      <w:r>
        <w:rPr>
          <w:color w:val="555555"/>
          <w:sz w:val="17"/>
        </w:rPr>
        <w:t xml:space="preserve">Zitiervorschlag: § 5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