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6.GemGebRefGBbg (Brandenburg) — Wahlgebiet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Wahlgebiet im Sinne des § 3 Abs. 3 des Brandenburgischen</w:t>
      </w:r>
    </w:p>
    <w:p>
      <w:r>
        <w:t xml:space="preserve">Kommunalwahlgesetzes ist für die neu gebildete oder durch Eingliederung</w:t>
      </w:r>
    </w:p>
    <w:p>
      <w:r>
        <w:t xml:space="preserve">erweiterte Gemeinde das am Tage der landesweiten Kommunalwahlen 2003</w:t>
      </w:r>
    </w:p>
    <w:p>
      <w:r>
        <w:t xml:space="preserve">entstandene Gebiet.</w:t>
      </w:r>
    </w:p>
    <w:p>
      <w:r>
        <w:rPr>
          <w:color w:val="555555"/>
          <w:sz w:val="17"/>
        </w:rPr>
        <w:t xml:space="preserve">Zitiervorschlag: § 42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https://recht.nulegal.eu/gesetze/6.GemGebRefGBbg/42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