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6.GemGebRefGBbg (Brandenburg) — Erlass von Haushaltssatzungen und Haushaltswirtschaft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Haushaltssatzungen der eingegliederten oder an einer</w:t>
      </w:r>
    </w:p>
    <w:p>
      <w:r>
        <w:t xml:space="preserve">Gemeindeneubildung beteiligten Gemeinden gelten bis zum In-Kraft-Treten einer</w:t>
      </w:r>
    </w:p>
    <w:p>
      <w:r>
        <w:t xml:space="preserve">Haushaltssatzung der erweiterten oder neu gebildeten Gemeinde fort,</w:t>
      </w:r>
    </w:p>
    <w:p>
      <w:r>
        <w:t xml:space="preserve">längstens jedoch bis zum Ende des Haushaltsjahres.</w:t>
      </w:r>
    </w:p>
    <w:p>
      <w:r>
        <w:t xml:space="preserve">(2) Die Rechtsnachfolgerin der eingegliederten oder an einer</w:t>
      </w:r>
    </w:p>
    <w:p>
      <w:r>
        <w:t xml:space="preserve">Gemeindeneubildung beteiligten Gemeinde erstellt die Rechnungsabschlüsse</w:t>
      </w:r>
    </w:p>
    <w:p>
      <w:r>
        <w:t xml:space="preserve">für den Haushalt ihrer Rechtsvorgängerin. § 93 der</w:t>
      </w:r>
    </w:p>
    <w:p>
      <w:r>
        <w:t xml:space="preserve">Gemeindeordnung gilt entsprechend.</w:t>
      </w:r>
    </w:p>
    <w:p>
      <w:r>
        <w:t xml:space="preserve">(3) Maßnahmen, die erhebliche finanzielle Verpflichtungen</w:t>
      </w:r>
    </w:p>
    <w:p>
      <w:r>
        <w:t xml:space="preserve">zur Folge haben oder langfristig finanzwirksam sind oder das Vermögen der</w:t>
      </w:r>
    </w:p>
    <w:p>
      <w:r>
        <w:t xml:space="preserve">einzugliedernden oder an einer Gemeindeneubildung beteiligten Gemeinde sowie</w:t>
      </w:r>
    </w:p>
    <w:p>
      <w:r>
        <w:t xml:space="preserve">des von der gesetzlichen Neugliederungsmaßnahme betroffenen Amtes</w:t>
      </w:r>
    </w:p>
    <w:p>
      <w:r>
        <w:t xml:space="preserve">erheblich schmälern, dürfen von den betroffenen Körperschaften</w:t>
      </w:r>
    </w:p>
    <w:p>
      <w:r>
        <w:t xml:space="preserve">nur einvernehmlich durchgeführt werden. In dringenden Fällen kann die</w:t>
      </w:r>
    </w:p>
    <w:p>
      <w:r>
        <w:t xml:space="preserve">zuständige Kommunalaufsichtsbehörde eine von der Mehrheit der</w:t>
      </w:r>
    </w:p>
    <w:p>
      <w:r>
        <w:t xml:space="preserve">betroffenen Gemeinden beschlossene Maßnahme zulassen. Ein Amt ist</w:t>
      </w:r>
    </w:p>
    <w:p>
      <w:r>
        <w:t xml:space="preserve">betroffen im Sinne des Satzes 1, wenn es selbst Gegenstand der gesetzlichen</w:t>
      </w:r>
    </w:p>
    <w:p>
      <w:r>
        <w:t xml:space="preserve">Neugliederungsregelung ist oder wenn eine amtsangehörige Gemeinde</w:t>
      </w:r>
    </w:p>
    <w:p>
      <w:r>
        <w:t xml:space="preserve">über die Grenzen des Amtes hinweg einer anderen Körperschaft</w:t>
      </w:r>
    </w:p>
    <w:p>
      <w:r>
        <w:t xml:space="preserve">zugeordnet wird.</w:t>
      </w:r>
    </w:p>
    <w:p>
      <w:r>
        <w:rPr>
          <w:color w:val="555555"/>
          <w:sz w:val="17"/>
        </w:rPr>
        <w:t xml:space="preserve">Zitiervorschlag: § 39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