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6.GemGebRefGBbg (Brandenburg) — Ortsrecht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dem Zeitpunkt der Eingliederung gilt das Ortsrecht der</w:t>
      </w:r>
    </w:p>
    <w:p>
      <w:r>
        <w:t xml:space="preserve">aufnehmenden Gemeinde, soweit nicht in dem Vertrag nach § 33</w:t>
      </w:r>
    </w:p>
    <w:p>
      <w:r>
        <w:t xml:space="preserve">gesonderte Regelungen getroffen worden sind.</w:t>
      </w:r>
    </w:p>
    <w:p>
      <w:r>
        <w:t xml:space="preserve">(2) Das zum Zeitpunkt einer Gemeindeneubildung in den</w:t>
      </w:r>
    </w:p>
    <w:p>
      <w:r>
        <w:t xml:space="preserve">beteiligten Gemeinden geltende Ortsrecht gilt mit Ausnahme der</w:t>
      </w:r>
    </w:p>
    <w:p>
      <w:r>
        <w:t xml:space="preserve">Bekanntmachungsregeln fort, bis es durch neues Ortsrecht ersetzt wird oder aus</w:t>
      </w:r>
    </w:p>
    <w:p>
      <w:r>
        <w:t xml:space="preserve">anderen Gründen außer Kraft tritt, längstens jedoch für</w:t>
      </w:r>
    </w:p>
    <w:p>
      <w:r>
        <w:t xml:space="preserve">einen Zeitraum von fünf Jahren. Bekanntmachungen der an der Neubildung</w:t>
      </w:r>
    </w:p>
    <w:p>
      <w:r>
        <w:t xml:space="preserve">beteiligten Gemeinden haben bis zum In-Kraft-Treten einheitlicher</w:t>
      </w:r>
    </w:p>
    <w:p>
      <w:r>
        <w:t xml:space="preserve">Bekanntmachungsregeln für die neu gebildete Gemeinde gegen</w:t>
      </w:r>
    </w:p>
    <w:p>
      <w:r>
        <w:t xml:space="preserve">Kostenerstattung in dem Bekanntmachungsorgan des Landkreises zu erfolgen.</w:t>
      </w:r>
    </w:p>
    <w:p>
      <w:r>
        <w:t xml:space="preserve">(3) Unterschiedliche Steuer- oder Steuerhebesätze der</w:t>
      </w:r>
    </w:p>
    <w:p>
      <w:r>
        <w:t xml:space="preserve">eingegliederten oder an der Neubildung beteiligten Gemeinden gelten bis zum 31.</w:t>
      </w:r>
    </w:p>
    <w:p>
      <w:r>
        <w:t xml:space="preserve">Dezember 2003 fort. Eine abweichende Vereinbarung ist nach Maßgabe des</w:t>
      </w:r>
    </w:p>
    <w:p>
      <w:r>
        <w:t xml:space="preserve">§ 33 Abs. 1 Satz 2 Nr. 7 zulässig.</w:t>
      </w:r>
    </w:p>
    <w:p>
      <w:r>
        <w:rPr>
          <w:color w:val="555555"/>
          <w:sz w:val="17"/>
        </w:rPr>
        <w:t xml:space="preserve">Zitiervorschlag: § 35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6.GemGebRefGBbg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