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6.GemGebRefGBbg (Brandenburg) — Gemeindenamen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Gemeindevertretung der neu gebildeten Gemeinde kann</w:t>
      </w:r>
    </w:p>
    <w:p>
      <w:r>
        <w:t xml:space="preserve">abweichend von § 11 Abs. 1 Satz 2 der Gemeindeordnung den vom Gesetzgeber</w:t>
      </w:r>
    </w:p>
    <w:p>
      <w:r>
        <w:t xml:space="preserve">bestimmten Gemeindenamen mit mehr als der Hälfte der gesetzlichen Zahl der</w:t>
      </w:r>
    </w:p>
    <w:p>
      <w:r>
        <w:t xml:space="preserve">Mitglieder ändern. Der Änderungsbeschluss muss dem Ministerium des</w:t>
      </w:r>
    </w:p>
    <w:p>
      <w:r>
        <w:t xml:space="preserve">Innern bis zum 30. Juni 2004 zur Genehmigung vorliegen.</w:t>
      </w:r>
    </w:p>
    <w:p>
      <w:r>
        <w:rPr>
          <w:color w:val="555555"/>
          <w:sz w:val="17"/>
        </w:rPr>
        <w:t xml:space="preserve">Zitiervorschlag: § 34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https://recht.nulegal.eu/gesetze/6.GemGebRefGBbg/34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