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6.GemGebRefGBbg (Brandenburg) — Verwaltungseinheit Amt Schenkendöbern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 Gastrose-Kerkwitz wird in die zum Tag der</w:t>
      </w:r>
    </w:p>
    <w:p>
      <w:r>
        <w:t xml:space="preserve">nächsten landesweiten Kommunalwahlen neu gebildete Gemeinde</w:t>
      </w:r>
    </w:p>
    <w:p>
      <w:r>
        <w:t xml:space="preserve">Schenkendöbern eingegliedert.</w:t>
      </w:r>
    </w:p>
    <w:p>
      <w:r>
        <w:t xml:space="preserve">(2) Das Amt Schenkendöbern wird aufgelöst. Die</w:t>
      </w:r>
    </w:p>
    <w:p>
      <w:r>
        <w:t xml:space="preserve">Gemeinde Schenkendöbern ist amtsfrei.</w:t>
      </w:r>
    </w:p>
    <w:p>
      <w:r>
        <w:rPr>
          <w:color w:val="555555"/>
          <w:sz w:val="17"/>
        </w:rPr>
        <w:t xml:space="preserve">Zitiervorschlag: § 27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