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6.GemGebRefGBbg (Brandenburg) — Verwaltungseinheit Amt Tauche</w:t>
      </w:r>
    </w:p>
    <w:p>
      <w:r>
        <w:rPr>
          <w:color w:val="555555"/>
          <w:sz w:val="18"/>
        </w:rPr>
        <w:t xml:space="preserve">Sechstes Gesetz zur landesweiten Gemeindegebietsreform betreffend die Landkreise Dahme-Spreewald, Elbe-Elster, Oberspreewald-Lausitz, Oder-Spree und Spree-Neiße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Gemeinde Stremmen wird in die Gemeinde Tauche</w:t>
      </w:r>
    </w:p>
    <w:p>
      <w:r>
        <w:t xml:space="preserve">eingegliedert.</w:t>
      </w:r>
    </w:p>
    <w:p>
      <w:r>
        <w:t xml:space="preserve">(2) Das Amt Tauche wird aufgelöst. Die Gemeinde Tauche ist</w:t>
      </w:r>
    </w:p>
    <w:p>
      <w:r>
        <w:t xml:space="preserve">amtsfrei.</w:t>
      </w:r>
    </w:p>
    <w:p>
      <w:r>
        <w:rPr>
          <w:color w:val="555555"/>
          <w:sz w:val="17"/>
        </w:rPr>
        <w:t xml:space="preserve">Zitiervorschlag: § 26 6.GemGebRefGBbg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https://recht.nulegal.eu/gesetze/6.GemGebRefGBbg/26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