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6.GemGebRefGBbg (Brandenburg) — Verwaltungseinheit Amt Spreenhagen</w:t>
      </w:r>
    </w:p>
    <w:p>
      <w:r>
        <w:rPr>
          <w:color w:val="555555"/>
          <w:sz w:val="18"/>
        </w:rPr>
        <w:t xml:space="preserve">Sechstes Gesetz zur landesweiten Gemeindegebietsreform betreffend die Landkreise Dahme-Spreewald, Elbe-Elster, Oberspreewald-Lausitz, Oder-Spree und Spree-Neiße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 Gemeinde Markgrafpieske wird in die Gemeinde</w:t>
      </w:r>
    </w:p>
    <w:p>
      <w:r>
        <w:t xml:space="preserve">Spreenhagen eingegliedert.</w:t>
      </w:r>
    </w:p>
    <w:p>
      <w:r>
        <w:t xml:space="preserve">(2) Aus den Gemeinden Gosen und Neu Zittau wird die neue</w:t>
      </w:r>
    </w:p>
    <w:p>
      <w:r>
        <w:t xml:space="preserve">Gemeinde Gosen-Neu Zittau gebildet.</w:t>
      </w:r>
    </w:p>
    <w:p>
      <w:r>
        <w:rPr>
          <w:color w:val="555555"/>
          <w:sz w:val="17"/>
        </w:rPr>
        <w:t xml:space="preserve">Zitiervorschlag: § 23 6.GemGebRefGBbg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https://recht.nulegal.eu/gesetze/6.GemGebRefGBbg/23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