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6.GemGebRefGBbg (Brandenburg) — Verwaltungseinheit Amt Friedland (Niederlausitz)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Groß Muckrow wird in die Stadt Friedland</w:t>
      </w:r>
    </w:p>
    <w:p>
      <w:r>
        <w:t xml:space="preserve">eingegliedert.</w:t>
      </w:r>
    </w:p>
    <w:p>
      <w:r>
        <w:t xml:space="preserve">(2) Das Amt Friedland (Niederlausitz) wird aufgelöst. Die</w:t>
      </w:r>
    </w:p>
    <w:p>
      <w:r>
        <w:t xml:space="preserve">Stadt Friedland ist amtsfrei.</w:t>
      </w:r>
    </w:p>
    <w:p>
      <w:r>
        <w:rPr>
          <w:color w:val="555555"/>
          <w:sz w:val="17"/>
        </w:rPr>
        <w:t xml:space="preserve">Zitiervorschlag: § 17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