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6.GemGebRefGBbg (Brandenburg) — Verwaltungseinheit Amt Vetschau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Koßwig, Laasow, Missen und Raddusch</w:t>
      </w:r>
    </w:p>
    <w:p>
      <w:r>
        <w:t xml:space="preserve">werden in die Stadt Vetschau/Spreewald eingegliedert.</w:t>
      </w:r>
    </w:p>
    <w:p>
      <w:r>
        <w:t xml:space="preserve">(2) Das Amt Vetschau wird aufgelöst. Die Stadt</w:t>
      </w:r>
    </w:p>
    <w:p>
      <w:r>
        <w:t xml:space="preserve">Vetschau/Spreewald ist amtsfrei.</w:t>
      </w:r>
    </w:p>
    <w:p>
      <w:r>
        <w:rPr>
          <w:color w:val="555555"/>
          <w:sz w:val="17"/>
        </w:rPr>
        <w:t xml:space="preserve">Zitiervorschlag: § 16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