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6.GemGebRefGBbg (Brandenburg) — Verwaltungseinheit Amt Falkenberg/Elster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 Schmerkendorf wird in die Stadt</w:t>
      </w:r>
    </w:p>
    <w:p>
      <w:r>
        <w:t xml:space="preserve">Falkenberg/Elster eingegliedert.</w:t>
      </w:r>
    </w:p>
    <w:p>
      <w:r>
        <w:t xml:space="preserve">(2) Das Amt Falkenberg/Elster wird aufgelöst. Die Stadt</w:t>
      </w:r>
    </w:p>
    <w:p>
      <w:r>
        <w:t xml:space="preserve">Falkenberg/Elster ist amtsfrei.</w:t>
      </w:r>
    </w:p>
    <w:p>
      <w:r>
        <w:rPr>
          <w:color w:val="555555"/>
          <w:sz w:val="17"/>
        </w:rPr>
        <w:t xml:space="preserve">Zitiervorschlag: § 11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