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6. ErhZV (Brandenburg) — Erhaltungsziele</w:t>
      </w:r>
    </w:p>
    <w:p>
      <w:r>
        <w:rPr>
          <w:color w:val="555555"/>
          <w:sz w:val="18"/>
        </w:rPr>
        <w:t xml:space="preserve">Sechste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In den Anlagen 3 und 4 werden für die in Anlage 1 aufgeführten Gebiete ökologische Erfordernisse für einen günstigen Erhaltungszustand der natürlichen Lebensraumtypen nach Anhang I und der Tier- und Pflanzenarten nach Anhang II der Richtlinie 92/43/EWG beschrieben.</w:t>
      </w:r>
    </w:p>
    <w:p>
      <w:r>
        <w:t xml:space="preserve">(2) Soweit das Gebiet von gemeinschaftlicher Bedeutung „Mühlenberg Nennhausen“ flächengleich mit dem Naturschutzgebiet „Havelländisches Luch“ ist, ergeben sich die Erhaltungsziele gemäß § 23 des Bundesnaturschutzgesetzes aus der Verordnung über das Naturschutzgebiet. Die im Gebiet anwendbare Schutzgebietsverordnung ist in Anlage 2 aufgeführt.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6.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https://recht.nulegal.eu/gesetze/6.%20ErhZV/2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