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5.GemGlG (Brandenburg) — Sonderstatus des Ortsteils Kausche</w:t>
      </w:r>
    </w:p>
    <w:p>
      <w:r>
        <w:rPr>
          <w:color w:val="555555"/>
          <w:sz w:val="18"/>
        </w:rPr>
        <w:t xml:space="preserve">Fünftes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öffentlich-rechtliche Vereinbarung nach § 1 Abs. 3 zwischen der Stadt Drebkau und der Gemeinde Kausche kann vorsehen, daß der Ortsbeirat des Ortsteils Kausche</w:t>
      </w:r>
    </w:p>
    <w:p>
      <w:r>
        <w:t xml:space="preserve">die Umsetzung der Nummer 19 des von der Stadt Drebkau und der Gemeinde Kausche erarbeiteten und als Anlage 2 zu diesem Gesetz auszugsweise veröffentlichten</w:t>
      </w:r>
    </w:p>
    <w:p>
      <w:r>
        <w:t xml:space="preserve">Kommunalen Handlungskonzepts vom 13. Dezember 1993 überwacht und die ausschließliche Entscheidungsbefugnis über die Nutzung der für</w:t>
      </w:r>
    </w:p>
    <w:p>
      <w:r>
        <w:t xml:space="preserve">den Ortsteil bestimmten Einrichtungen erhält,</w:t>
      </w:r>
    </w:p>
    <w:p>
      <w:r>
        <w:t xml:space="preserve">über die Zuteilung für bestimmte, in der öffentlich-rechtlichen Vereinbarung näher zu bezeichnende Grundstücke und Wohnungen entscheidet.</w:t>
      </w:r>
    </w:p>
    <w:p>
      <w:r>
        <w:t xml:space="preserve">(2) Die Hauptsatzung der Stadt Drebkau kann vorsehen, daß nur auf Vorschlag des Ortsbeirates des Ortsteils Kausche</w:t>
      </w:r>
    </w:p>
    <w:p>
      <w:r>
        <w:t xml:space="preserve">ein Stellvertreter des ehrenamtlichen Bürgermeisters der Stadt Drebkau gewählt werden kann,</w:t>
      </w:r>
    </w:p>
    <w:p>
      <w:r>
        <w:t xml:space="preserve">jeweils ein weiteres stimmberechtigtes Mitglied für die Ausschüsse der Stadtverordnetenversammlung der Stadt Drebkau aus dem Kreis der im Wahlkreis des Ortsteils Kausche gewählten Stadtverordneten bestimmt werden kann,</w:t>
      </w:r>
    </w:p>
    <w:p>
      <w:r>
        <w:t xml:space="preserve">über die Verwendung bestimmter, in der öffentlich-rechtlichen Vereinbarung näher bezeichneter Finanzmittel entschieden werden darf.</w:t>
      </w:r>
    </w:p>
    <w:p>
      <w:r>
        <w:t xml:space="preserve">(3) Die aufgrund der Absätze 1 und 2 und des § 4 Abs. 2 zustandegekommenen Regelungen gelten für die Dauer der begonnenen und zweier weiterer Wahlperioden der Stadtverordnetenversammlung der Stadt Drebkau.</w:t>
      </w:r>
    </w:p>
    <w:p>
      <w:r>
        <w:rPr>
          <w:color w:val="555555"/>
          <w:sz w:val="17"/>
        </w:rPr>
        <w:t xml:space="preserve">Zitiervorschlag: § 6 5.GemGlG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https://recht.nulegal.eu/gesetze/5.GemGlG/6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