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5.GemGlG (Brandenburg) — Zusammensetzung der Gemeindevertretung der Stadt Drebkau</w:t>
      </w:r>
    </w:p>
    <w:p>
      <w:r>
        <w:rPr>
          <w:color w:val="555555"/>
          <w:sz w:val="18"/>
        </w:rPr>
        <w:t xml:space="preserve">Fünftes Gemeindegliederungsgesetz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In der öffentlich-rechtlichen Vereinbarung zwischen der Stadt Drebkau und der Gemeinde Kausche kann vereinbart werden, daß für die beiden folgenden Wahlperioden der Stadtverordnetenversammlung der Stadt Drebkau das Wahlgebiet abweichend von § 20 Abs. 2 des Brandenburgischen Kommunalwahlgesetzes in bis zu sechs Wahlkreise aufgeteilt werden kann und daß die gesetzliche Zahl der Mitglieder der Stadtverordnetenversammlung Drebkau abweichend von § 6 Abs. 2 Nr. 1 des Brandenburgischen Kommunalwahlgesetzes um bis zu 50 vom Hundert erhöht werden kann. Wird das Wahlgebiet in mehrere Wahlkreise eingeteilt, ist das Gebiet des Ortsteils Kausche einem Wahlkreis zuzuordnen.</w:t>
      </w:r>
    </w:p>
    <w:p>
      <w:r>
        <w:rPr>
          <w:color w:val="555555"/>
          <w:sz w:val="17"/>
        </w:rPr>
        <w:t xml:space="preserve">Zitiervorschlag: § 5 5.GemGlG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https://recht.nulegal.eu/gesetze/5.GemGlG/5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5.GemGlG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