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5.GemGlG (Brandenburg) — Rechtsnachfolge</w:t>
      </w:r>
    </w:p>
    <w:p>
      <w:r>
        <w:rPr>
          <w:color w:val="555555"/>
          <w:sz w:val="18"/>
        </w:rPr>
        <w:t xml:space="preserve">Fünftes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Stadt Drebkau ist Rechtsnachfolgerin der Gemeinde Kausche.</w:t>
      </w:r>
    </w:p>
    <w:p>
      <w:r>
        <w:t xml:space="preserve">(2) Eine Vermögensauseinandersetzung findet nicht statt.</w:t>
      </w:r>
    </w:p>
    <w:p>
      <w:r>
        <w:rPr>
          <w:color w:val="555555"/>
          <w:sz w:val="17"/>
        </w:rPr>
        <w:t xml:space="preserve">Zitiervorschlag: § 2 5.GemGlG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https://recht.nulegal.eu/gesetze/5.GemGlG/2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