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5.GemGebRefGBbg (Brandenburg) — Verwaltungseinheit Amt Märkische Schweiz</w:t>
      </w:r>
    </w:p>
    <w:p>
      <w:r>
        <w:rPr>
          <w:color w:val="555555"/>
          <w:sz w:val="18"/>
        </w:rPr>
        <w:t xml:space="preserve">Fünftes Gesetz zur landesweiten Gemeindegebietsreform betreffend die Landkreise Barnim, Märkisch-Oderland, Oberhavel, Ostprignitz-Ruppin, Prignitz, Uckermark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Gemeinde Ihlow wird in die Gemeinde Oberbarnim</w:t>
      </w:r>
    </w:p>
    <w:p>
      <w:r>
        <w:t xml:space="preserve">eingegliedert.</w:t>
      </w:r>
    </w:p>
    <w:p>
      <w:r>
        <w:t xml:space="preserve">(2) Die Gemeinden Werder und Zinndorf werden in die Gemeinde</w:t>
      </w:r>
    </w:p>
    <w:p>
      <w:r>
        <w:t xml:space="preserve">Rehfelde eingegliedert.</w:t>
      </w:r>
    </w:p>
    <w:p>
      <w:r>
        <w:rPr>
          <w:color w:val="555555"/>
          <w:sz w:val="17"/>
        </w:rPr>
        <w:t xml:space="preserve">Zitiervorschlag: § 9 5.GemGebRefGBbg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https://recht.nulegal.eu/gesetze/5.GemGebRefGBbg/9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