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5.GemGebRefGBbg (Brandenburg) — Verwaltungseinheit Amt Bad Freienwalde-Insel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Altglietzen, Bralitz, Hohenwutzen, Neuenhagen</w:t>
      </w:r>
    </w:p>
    <w:p>
      <w:r>
        <w:t xml:space="preserve">und Schiffmühle werden in die Stadt Bad Freienwalde (Oder) eingegliedert.</w:t>
      </w:r>
    </w:p>
    <w:p>
      <w:r>
        <w:t xml:space="preserve">(2) Das Amt Bad Freienwalde-Insel wird aufgelöst. Die</w:t>
      </w:r>
    </w:p>
    <w:p>
      <w:r>
        <w:t xml:space="preserve">Stadt Bad Freienwalde (Oder) ist amtsfrei.</w:t>
      </w:r>
    </w:p>
    <w:p>
      <w:r>
        <w:rPr>
          <w:color w:val="555555"/>
          <w:sz w:val="17"/>
        </w:rPr>
        <w:t xml:space="preserve">Zitiervorschlag: § 5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