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5.GemGebRefGBbg (Brandenburg) — In-Kraft-Treten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1 bis 31 treten am Tage der nächsten</w:t>
      </w:r>
    </w:p>
    <w:p>
      <w:r>
        <w:t xml:space="preserve">landesweiten Kommunalwahlen in Kraft. Im Übrigen tritt dieses Gesetz am</w:t>
      </w:r>
    </w:p>
    <w:p>
      <w:r>
        <w:t xml:space="preserve">Tage nach der Verkündung in Kraft.</w:t>
      </w:r>
    </w:p>
    <w:p>
      <w:r>
        <w:t xml:space="preserve">§ 22 Abs.1 teilweise für nichtig erklärt durch</w:t>
      </w:r>
    </w:p>
    <w:p>
      <w:r>
        <w:t xml:space="preserve">Entscheidung des Verfassungsgerichts des Landes Brandenburg vom 27.05.2004</w:t>
      </w:r>
    </w:p>
    <w:p>
      <w:r>
        <w:t xml:space="preserve">(GVBl.I/04 S.256)</w:t>
      </w:r>
    </w:p>
    <w:p>
      <w:r>
        <w:t xml:space="preserve">Anm.: Die Anlagen wurden nicht aufgenommen!</w:t>
      </w:r>
    </w:p>
    <w:p>
      <w:r>
        <w:rPr>
          <w:color w:val="555555"/>
          <w:sz w:val="17"/>
        </w:rPr>
        <w:t xml:space="preserve">Zitiervorschlag: § 48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https://recht.nulegal.eu/gesetze/5.GemGebRefGBbg/48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