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5.GemGebRefGBbg (Brandenburg) — Vermögensauseinandersetzung und Personalüberleitung als Folge freiwilliger Gemeindezusammenschlüsse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der §§ 32, 33 und 39 gelten für</w:t>
      </w:r>
    </w:p>
    <w:p>
      <w:r>
        <w:t xml:space="preserve">Eingliederungen und Neubildungen von Gemeinden auf vertraglicher Grundlage</w:t>
      </w:r>
    </w:p>
    <w:p>
      <w:r>
        <w:t xml:space="preserve">entsprechend, soweit eine Regelung nach §§ 10, 10 a der</w:t>
      </w:r>
    </w:p>
    <w:p>
      <w:r>
        <w:t xml:space="preserve">Gemeindeordnung unterblieben oder fehlerhaft ist.</w:t>
      </w:r>
    </w:p>
    <w:p>
      <w:r>
        <w:rPr>
          <w:color w:val="555555"/>
          <w:sz w:val="17"/>
        </w:rPr>
        <w:t xml:space="preserve">Zitiervorschlag: § 47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