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43 5.GemGebRefGBbg (Brandenburg) — Wahlgebiet</w:t>
      </w:r>
    </w:p>
    <w:p>
      <w:r>
        <w:rPr>
          <w:color w:val="555555"/>
          <w:sz w:val="18"/>
        </w:rPr>
        <w:t xml:space="preserve">Fünftes Gesetz zur landesweiten Gemeindegebietsreform betreffend die Landkreise Barnim, Märkisch-Oderland, Oberhavel, Ostprignitz-Ruppin, Prignitz, Uckermark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Wahlgebiet im Sinne des § 3 Abs. 3 des Brandenburgischen</w:t>
      </w:r>
    </w:p>
    <w:p>
      <w:r>
        <w:t xml:space="preserve">Kommunalwahlgesetzes ist für die neu gebildete oder durch Eingliederung</w:t>
      </w:r>
    </w:p>
    <w:p>
      <w:r>
        <w:t xml:space="preserve">erweiterte Gemeinde das am Tage der landesweiten Kommunalwahlen 2003</w:t>
      </w:r>
    </w:p>
    <w:p>
      <w:r>
        <w:t xml:space="preserve">entstandene Gebiet.</w:t>
      </w:r>
    </w:p>
    <w:p>
      <w:r>
        <w:rPr>
          <w:color w:val="555555"/>
          <w:sz w:val="17"/>
        </w:rPr>
        <w:t xml:space="preserve">Zitiervorschlag: § 43 5.GemGebRefGBbg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https://recht.nulegal.eu/gesetze/5.GemGebRefGBbg/43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