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5.GemGebRefGBbg (Brandenburg) — Anwendungsbereich</w:t>
      </w:r>
    </w:p>
    <w:p>
      <w:r>
        <w:rPr>
          <w:color w:val="555555"/>
          <w:sz w:val="18"/>
        </w:rPr>
        <w:t xml:space="preserve">Fünftes Gesetz zur landesweiten Gemeindegebietsreform betreffend die Landkreise Barnim, Märkisch-Oderland, Oberhavel, Ostprignitz-Ruppin, Prignitz, Uckermark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 Vorschriften dieses Abschnitts gelten für die</w:t>
      </w:r>
    </w:p>
    <w:p>
      <w:r>
        <w:t xml:space="preserve">nächsten allgemeinen landesweiten Kommunalwahlen im Jahre 2003.</w:t>
      </w:r>
    </w:p>
    <w:p>
      <w:r>
        <w:rPr>
          <w:color w:val="555555"/>
          <w:sz w:val="17"/>
        </w:rPr>
        <w:t xml:space="preserve">Zitiervorschlag: § 42 5.GemGebRefGBbg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https://recht.nulegal.eu/gesetze/5.GemGebRefGBbg/42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