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5.GemGebRefGBbg (Brandenburg) — Ortsteilnamen und Namen von bewohnten Gemeindeteilen</w:t>
      </w:r>
    </w:p>
    <w:p>
      <w:r>
        <w:rPr>
          <w:color w:val="555555"/>
          <w:sz w:val="18"/>
        </w:rPr>
        <w:t xml:space="preserve">Fünftes Gesetz zur landesweiten Gemeindegebietsreform betreffend die Landkreise Barnim, Märkisch-Oderland, Oberhavel, Ostprignitz-Ruppin, Prignitz,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Name der eingegliederten oder an einer Neubildung</w:t>
      </w:r>
    </w:p>
    <w:p>
      <w:r>
        <w:t xml:space="preserve">beteiligten Gemeinde wird Ortsteilname der aufnehmenden oder neu gebildeten</w:t>
      </w:r>
    </w:p>
    <w:p>
      <w:r>
        <w:t xml:space="preserve">Gemeinde. Sofern Ortsteile nach § 37 Abs. 1 Satz 3 gebildet werden,</w:t>
      </w:r>
    </w:p>
    <w:p>
      <w:r>
        <w:t xml:space="preserve">gelten die bisherigen Ortsteilnamen fort. § 54 d der Gemeindeordnung</w:t>
      </w:r>
    </w:p>
    <w:p>
      <w:r>
        <w:t xml:space="preserve">bleibt unberührt.</w:t>
      </w:r>
    </w:p>
    <w:p>
      <w:r>
        <w:t xml:space="preserve">(2) Die Namen der bewohnten Gemeindeteile bleiben erhalten.</w:t>
      </w:r>
    </w:p>
    <w:p>
      <w:r>
        <w:t xml:space="preserve">§ 11 Abs. 3 der Gemeindeordnung bleibt unberührt.</w:t>
      </w:r>
    </w:p>
    <w:p>
      <w:r>
        <w:rPr>
          <w:color w:val="555555"/>
          <w:sz w:val="17"/>
        </w:rPr>
        <w:t xml:space="preserve">Zitiervorschlag: § 38 5.GemGebRefGBbg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https://recht.nulegal.eu/gesetze/5.GemGebRefGBbg/38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