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5.GemGebRefGBbg (Brandenburg) — Rechtsnachfolge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neu gebildete Gemeinde ist Rechtsnachfolgerin der an</w:t>
      </w:r>
    </w:p>
    <w:p>
      <w:r>
        <w:t xml:space="preserve">der Gemeindeneubildung beteiligten Gemeinden. Die aufnehmende Gemeinde ist</w:t>
      </w:r>
    </w:p>
    <w:p>
      <w:r>
        <w:t xml:space="preserve">Rechtsnachfolgerin der eingegliederten Gemeinde. In den Fällen, in denen</w:t>
      </w:r>
    </w:p>
    <w:p>
      <w:r>
        <w:t xml:space="preserve">ein Amt infolge des Zusammenschlusses aller dem Amt bisher angehörenden</w:t>
      </w:r>
    </w:p>
    <w:p>
      <w:r>
        <w:t xml:space="preserve">Gemeinden aufgelöst wird, ist die neu gebildete oder aufnehmende Gemeinde</w:t>
      </w:r>
    </w:p>
    <w:p>
      <w:r>
        <w:t xml:space="preserve">auch Rechtsnachfolgerin des bisherigen Amtes. Wird ein Amt durch eine</w:t>
      </w:r>
    </w:p>
    <w:p>
      <w:r>
        <w:t xml:space="preserve">amtsgrenzenüberschreitende Eingliederung oder Neubildung von Gemeinden</w:t>
      </w:r>
    </w:p>
    <w:p>
      <w:r>
        <w:t xml:space="preserve">aufgelöst, ist eine Vermögensauseinandersetzung nach § 33</w:t>
      </w:r>
    </w:p>
    <w:p>
      <w:r>
        <w:t xml:space="preserve">vorzunehmen.</w:t>
      </w:r>
    </w:p>
    <w:p>
      <w:r>
        <w:t xml:space="preserve">(2) § 1 Abs. 4 der Amtsordnung findet entsprechende</w:t>
      </w:r>
    </w:p>
    <w:p>
      <w:r>
        <w:t xml:space="preserve">Anwendung.</w:t>
      </w:r>
    </w:p>
    <w:p>
      <w:r>
        <w:rPr>
          <w:color w:val="555555"/>
          <w:sz w:val="17"/>
        </w:rPr>
        <w:t xml:space="preserve">Zitiervorschlag: § 32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