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5.GemGebRefGBbg (Brandenburg) — Verwaltungseinheit Amt Kyritz</w:t>
      </w:r>
    </w:p>
    <w:p>
      <w:r>
        <w:rPr>
          <w:color w:val="555555"/>
          <w:sz w:val="18"/>
        </w:rPr>
        <w:t xml:space="preserve">Fünftes Gesetz zur landesweiten Gemeindegebietsreform betreffend die Landkreise Barnim, Märkisch-Oderland, Oberhavel, Ostprignitz-Ruppin, Prignitz, Uckermark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Gemeinde Drewen wird in die Stadt Kyritz eingegliedert.</w:t>
      </w:r>
    </w:p>
    <w:p>
      <w:r>
        <w:t xml:space="preserve">(2) Das Amt Kyritz wird aufgelöst. Die Stadt Kyritz ist</w:t>
      </w:r>
    </w:p>
    <w:p>
      <w:r>
        <w:t xml:space="preserve">amtsfrei.</w:t>
      </w:r>
    </w:p>
    <w:p>
      <w:r>
        <w:rPr>
          <w:color w:val="555555"/>
          <w:sz w:val="17"/>
        </w:rPr>
        <w:t xml:space="preserve">Zitiervorschlag: § 19 5.GemGebRefGBbg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https://recht.nulegal.eu/gesetze/5.GemGebRefGBbg/19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