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5.GemGebRefGBbg (Brandenburg) — Verwaltungseinheit Amt Fehrbellin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Brunne, Dechtow, Langen, Lentzke, Linum,</w:t>
      </w:r>
    </w:p>
    <w:p>
      <w:r>
        <w:t xml:space="preserve">Protzen, Walchow und Wustrau-Altfriesack werden in die zum Tag der</w:t>
      </w:r>
    </w:p>
    <w:p>
      <w:r>
        <w:t xml:space="preserve">nächsten landesweiten Kommunalwahlen neu gebildete Gemeinde Fehrbellin</w:t>
      </w:r>
    </w:p>
    <w:p>
      <w:r>
        <w:t xml:space="preserve">eingegliedert.</w:t>
      </w:r>
    </w:p>
    <w:p>
      <w:r>
        <w:t xml:space="preserve">(2) Das Amt Fehrbellin wird aufgelöst. Die Gemeinde</w:t>
      </w:r>
    </w:p>
    <w:p>
      <w:r>
        <w:t xml:space="preserve">Fehrbellin ist amtsfrei.</w:t>
      </w:r>
    </w:p>
    <w:p>
      <w:r>
        <w:rPr>
          <w:color w:val="555555"/>
          <w:sz w:val="17"/>
        </w:rPr>
        <w:t xml:space="preserve">Zitiervorschlag: § 17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