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5.GemGebRefGBbg (Brandenburg) — Verwaltungseinheit Amt Zehdenick und Gemeinden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Badingen, Kappe, Klein-Mutz, Kurtschlag,</w:t>
      </w:r>
    </w:p>
    <w:p>
      <w:r>
        <w:t xml:space="preserve">Marienthal, Mildenberg, Wesendorf und Zabelsdorf werden in die Stadt Zehdenick</w:t>
      </w:r>
    </w:p>
    <w:p>
      <w:r>
        <w:t xml:space="preserve">eingegliedert.</w:t>
      </w:r>
    </w:p>
    <w:p>
      <w:r>
        <w:t xml:space="preserve">(2) Das Amt Zehdenick und Gemeinden wird aufgelöst. Die</w:t>
      </w:r>
    </w:p>
    <w:p>
      <w:r>
        <w:t xml:space="preserve">Stadt Zehdenick ist amtsfrei.</w:t>
      </w:r>
    </w:p>
    <w:p>
      <w:r>
        <w:rPr>
          <w:color w:val="555555"/>
          <w:sz w:val="17"/>
        </w:rPr>
        <w:t xml:space="preserve">Zitiervorschlag: § 16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