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5. ErhZV (Brandenburg) — Inkrafttreten</w:t>
      </w:r>
    </w:p>
    <w:p>
      <w:r>
        <w:rPr>
          <w:color w:val="555555"/>
          <w:sz w:val="18"/>
        </w:rPr>
        <w:t xml:space="preserve">Fünfte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7. Dezember 2016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________________________</w:t>
      </w:r>
    </w:p>
    <w:p>
      <w:r>
        <w:t xml:space="preserve">*) Diese Verordnung dient der Umsetzung der Richtlinie 92/43/EWG des Rates vom 21. Mai 1992 zur Erhaltung der natürlichen Lebensräume sowie der wild lebenden Tiere und Pflanzen (ABl. L 206 vom 22.7.1992, S. 7), die durch die Richtlinie 2013/17/EU vom 13. Mai 2013 (ABl. L 158 vom 10.6.2013, S. 193) geändert worden ist.</w:t>
      </w:r>
    </w:p>
    <w:p>
      <w:r>
        <w:rPr>
          <w:color w:val="555555"/>
          <w:sz w:val="17"/>
        </w:rPr>
        <w:t xml:space="preserve">Zitiervorschlag: § 4 5. ErhZV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https://recht.nulegal.eu/gesetze/5.%20ErhZV/4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5.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