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5. ErhZV (Brandenburg) — Erhaltungsziele</w:t>
      </w:r>
    </w:p>
    <w:p>
      <w:r>
        <w:rPr>
          <w:color w:val="555555"/>
          <w:sz w:val="18"/>
        </w:rPr>
        <w:t xml:space="preserve">Fünfte Erhaltungszielverordnung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(1) Die in Anlage 1 genannten Gebiete von gemeinschaftlicher Bedeutung stehen unter besonderem Schutz. Erhaltungsziel für das jeweilige Gebiet ist die Erhaltung oder Wiederherstellung eines günstigen Erhaltungszustandes (§ 7 Absatz 1 Nummer 10 des Bundesnaturschutzgesetzes) der in Anlage 2 für das jeweilige Gebiet genannten natürlichen Lebensraumtypen oder Tier- und Pflanzenarten von gemeinschaftlichem Interesse. In den Anlagen 3 und 4 werden für die in der Anlage 1 aufgeführten Gebiete ökologische Erfordernisse für einen günstigen Erhaltungszustand der natürlichen Lebensraumtypen nach Anhang I und der Tier- und Pflanzenarten nach Anhang II der Richtlinie 92/43/EWG beschrieben.</w:t>
      </w:r>
    </w:p>
    <w:p>
      <w:r>
        <w:t xml:space="preserve">(2) Soweit das Gebiet von gemeinschaftlicher Bedeutung „Streganzsee-Dahme und Bürgerheide“ flächengleich mit dem Naturschutzgebiet „Streganzsee-Dahme“ ist, ergeben sich die Erhaltungsziele gemäß § 23 des Bundesnaturschutzgesetzes aus der Verordnung über das Naturschutzgebiet. Die in einem Gebiet jeweils anwendbaren Schutzgebietsverordnungen sind in Anlage 2 aufgeführt.</w:t>
      </w:r>
    </w:p>
    <w:p>
      <w:r>
        <w:t xml:space="preserve">Einzelnorm</w:t>
      </w:r>
    </w:p>
    <w:p>
      <w:r>
        <w:rPr>
          <w:color w:val="555555"/>
          <w:sz w:val="17"/>
        </w:rPr>
        <w:t xml:space="preserve">Zitiervorschlag: § 2 5. ErhZV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https://recht.nulegal.eu/gesetze/5.%20ErhZV/2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