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5. ErhZV (Brandenburg) — Festsetzung</w:t>
      </w:r>
    </w:p>
    <w:p>
      <w:r>
        <w:rPr>
          <w:color w:val="555555"/>
          <w:sz w:val="18"/>
        </w:rPr>
        <w:t xml:space="preserve">Fünfte Erhaltungszielverordnung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Anlage 1 aufgeführten und in Anlage 2 näher beschriebenen Gebiete werden gemäß Artikel 4 Absatz 4 der Richtlinie 92/43/EWG als Gebiete von gemeinschaftlicher Bedeutung (§ 7 Absatz 1 Nummer 6 des Bundesnaturschutzgesetzes) in den in § 3 bestimmten Grenzen festgesetzt. Sie sind Teil des kohärenten europäischen ökologischen Netzes „Natura 2000“ und liegen vollständig oder anteilig im Naturpark Dahme-Heideseen.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5. ErhZV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https://recht.nulegal.eu/gesetze/5.%20ErhZV/1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5. ErhZV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