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4MEDIENAENDSTV (Brandenburg)</w:t>
      </w:r>
    </w:p>
    <w:p>
      <w:r>
        <w:rPr>
          <w:color w:val="555555"/>
          <w:sz w:val="18"/>
        </w:rPr>
        <w:t xml:space="preserve">Gesetz zum Vierten Staatsvertrag zur Änderung medienrechtlicher Staatsverträge (Vierter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wird das Grundrecht auf informationelle Selbstbestimmung (Artikel 2 Absatz 1 in Verbindung mit Artikel 1 Absatz 1 des Grundgesetzes) und das Grundrecht auf Datenschutz (Artikel 11 Absatz 1 der Verfassung des Landes Brandenburg) eingeschränkt.</w:t>
      </w:r>
    </w:p>
    <w:p>
      <w:r>
        <w:rPr>
          <w:color w:val="555555"/>
          <w:sz w:val="17"/>
        </w:rPr>
        <w:t xml:space="preserve">Zitiervorschlag: § 2 4MEDIENAENDSTV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https://recht.nulegal.eu/gesetze/4MEDIENAENDSTV/2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