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4.GemGlG (Brandenburg)</w:t>
      </w:r>
    </w:p>
    <w:p>
      <w:r>
        <w:rPr>
          <w:color w:val="555555"/>
          <w:sz w:val="18"/>
        </w:rPr>
        <w:t xml:space="preserve">Viertes Gemeindegliederungsgesetz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Das zur Erfüllung der gemeindlichen Aufgaben erforderliche Verwaltungs- und Finanzvermögen ist der Gemeinde Waldstadt in Anlehnung an die Artikel 21 und 22 des Einigungsvertrages unentgeltlich zu übertragen.</w:t>
      </w:r>
    </w:p>
    <w:p>
      <w:r>
        <w:t xml:space="preserve">(2) Die für die Wahrnehmung der Aufgaben nach § 1 Abs. 2 und 3 notwendigen Ausgabenmittel werden, soweit sie nicht durch eigene Einnahmen gedeckt sind, gesondert im Gemeindefinanzierungsgesetz bereitgestellt.</w:t>
      </w:r>
    </w:p>
    <w:p>
      <w:r>
        <w:t xml:space="preserve">(3) Die Beauftragten erstellen jährlich eine Haushaltssatzung, die der Genehmigung durch das Ministerium des Innern bedarf. Die Haushaltsrechnung wird von den Beauftragten festgestellt und durch das Rechnungsprüfungsamt des Landkreises Teltow-Fläming geprüft. Die Entlastung der Beauftragten</w:t>
      </w:r>
    </w:p>
    <w:p>
      <w:r>
        <w:t xml:space="preserve">erfolgt durch das Ministerium des Innern.</w:t>
      </w:r>
    </w:p>
    <w:p>
      <w:r>
        <w:t xml:space="preserve">(4) In den ersten drei Jahren nach dem Entstehen einer einheitlichen Gemeinde nach § 3 Abs. 1 erhält die neue Gemeinde eine um 100 Deutsche Mark pro Einwohner erhöhte pauschalierte Förderung investiver</w:t>
      </w:r>
    </w:p>
    <w:p>
      <w:r>
        <w:t xml:space="preserve">Maßnahmen.</w:t>
      </w:r>
    </w:p>
    <w:p>
      <w:r>
        <w:rPr>
          <w:color w:val="555555"/>
          <w:sz w:val="17"/>
        </w:rPr>
        <w:t xml:space="preserve">Zitiervorschlag: § 4 4.GemGlG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https://recht.nulegal.eu/gesetze/4.GemGlG/4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