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4.GemGlG (Brandenburg)</w:t>
      </w:r>
    </w:p>
    <w:p>
      <w:r>
        <w:rPr>
          <w:color w:val="555555"/>
          <w:sz w:val="18"/>
        </w:rPr>
        <w:t xml:space="preserve">Viertes Gemeindegliederungsgesetz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 Beauftragten nach § 1 Abs. 2 werden von der Landesregierung bestellt:</w:t>
      </w:r>
    </w:p>
    <w:p>
      <w:r>
        <w:t xml:space="preserve">der Landrat des Landkreises Teltow-Fläming als allgemeine untere Landesbehörde,</w:t>
      </w:r>
    </w:p>
    <w:p>
      <w:r>
        <w:t xml:space="preserve">der Amtsdirektor des Amtes Zossen und</w:t>
      </w:r>
    </w:p>
    <w:p>
      <w:r>
        <w:t xml:space="preserve">ein Vertreter des Landes auf Vorschlag des Ministers für Stadtentwicklung, Wohnen und Verkehr sowie des Ministers des Innern.</w:t>
      </w:r>
    </w:p>
    <w:p>
      <w:r>
        <w:t xml:space="preserve">Die Beauftragten nach Satz 1 Nr. 1 und 2 können ihren Vertreter bestimmen.</w:t>
      </w:r>
    </w:p>
    <w:p>
      <w:r>
        <w:t xml:space="preserve">(2) Die Beauftragten nehmen bis zum Tag der nächsten Kommunalwahl die Aufgaben der Gemeindeorgane entsprechend den Bestimmungen der Gemeindeordnung wahr. Die Entscheidungen und Beschlüsse der Beauftragten werden mehrheitlich</w:t>
      </w:r>
    </w:p>
    <w:p>
      <w:r>
        <w:t xml:space="preserve">getroffen.</w:t>
      </w:r>
    </w:p>
    <w:p>
      <w:r>
        <w:t xml:space="preserve">(3) Der Beauftragte nach Absatz 1 Nr. 3 nimmt an den Sitzungen des Amtsausschusses des Amtes Zossen mit beratender Stimme teil. Er ist gesetzlicher Vertreter der Gemeinde.</w:t>
      </w:r>
    </w:p>
    <w:p>
      <w:r>
        <w:t xml:space="preserve">(4) Der Minister des Innern führt die Kommunalaufsicht über die Beauftragten. Satzungen der Gemeinde Waldstadt bedürfen seiner Genehmigung.</w:t>
      </w:r>
    </w:p>
    <w:p>
      <w:r>
        <w:rPr>
          <w:color w:val="555555"/>
          <w:sz w:val="17"/>
        </w:rPr>
        <w:t xml:space="preserve">Zitiervorschlag: § 2 4.GemGlG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https://recht.nulegal.eu/gesetze/4.GemGlG/2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