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4.GemGebRefGBbg (Brandenburg) — Verwaltungseinheiten Amt Schönwalde-Glien und Gemeinde Grünefeld des Amtes Nauen-Land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den Gemeinden Paaren im Glien, Pausin, Perwenitz,</w:t>
      </w:r>
    </w:p>
    <w:p>
      <w:r>
        <w:t xml:space="preserve">Schönwalde und Wansdorf des Amtes Schönwalde-Glien sowie der Gemeinde</w:t>
      </w:r>
    </w:p>
    <w:p>
      <w:r>
        <w:t xml:space="preserve">Grünefeld des Amtes Nauen-Land wird die neue Gemeinde</w:t>
      </w:r>
    </w:p>
    <w:p>
      <w:r>
        <w:t xml:space="preserve">Schönwalde-Glien gebildet.</w:t>
      </w:r>
    </w:p>
    <w:p>
      <w:r>
        <w:t xml:space="preserve">(2) Das Amt Schönwalde-Glien wird aufgelöst. Die</w:t>
      </w:r>
    </w:p>
    <w:p>
      <w:r>
        <w:t xml:space="preserve">Gemeinde Schönwalde-Glien ist amtsfrei.</w:t>
      </w:r>
    </w:p>
    <w:p>
      <w:r>
        <w:rPr>
          <w:color w:val="555555"/>
          <w:sz w:val="17"/>
        </w:rPr>
        <w:t xml:space="preserve">Zitiervorschlag: § 8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