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4.GemGebRefGBbg (Brandenburg) — Verwaltungseinheit Amt Nennhausen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Bamme, Gräningen und Mützlitz</w:t>
      </w:r>
    </w:p>
    <w:p>
      <w:r>
        <w:t xml:space="preserve">werden in die Gemeinde Nennhausen eingegliedert.</w:t>
      </w:r>
    </w:p>
    <w:p>
      <w:r>
        <w:t xml:space="preserve">(2) Aus den Gemeinden Kotzen, Kriele und Landin wird die neue</w:t>
      </w:r>
    </w:p>
    <w:p>
      <w:r>
        <w:t xml:space="preserve">Gemeinde Kotzen gebildet.</w:t>
      </w:r>
    </w:p>
    <w:p>
      <w:r>
        <w:rPr>
          <w:color w:val="555555"/>
          <w:sz w:val="17"/>
        </w:rPr>
        <w:t xml:space="preserve">Zitiervorschlag: § 6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