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4.GemGebRefGBbg (Brandenburg) — Verwaltungseinheit Amt Nauen-Land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Berge, Bergerdamm, Börnicke, Groß</w:t>
      </w:r>
    </w:p>
    <w:p>
      <w:r>
        <w:t xml:space="preserve">Behnitz, Kienberg, Klein Behnitz, Lietzow, Markee, Ribbeck, Tietzow und Wachow</w:t>
      </w:r>
    </w:p>
    <w:p>
      <w:r>
        <w:t xml:space="preserve">werden in die Stadt Nauen eingegliedert.</w:t>
      </w:r>
    </w:p>
    <w:p>
      <w:r>
        <w:t xml:space="preserve">(2) Das Amt Nauen-Land wird aufgelöst.</w:t>
      </w:r>
    </w:p>
    <w:p>
      <w:r>
        <w:rPr>
          <w:color w:val="555555"/>
          <w:sz w:val="17"/>
        </w:rPr>
        <w:t xml:space="preserve">Zitiervorschlag: § 5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