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4.GemGebRefGBbg (Brandenburg) — Verwaltungseinheit Amt Milow</w:t>
      </w:r>
    </w:p>
    <w:p>
      <w:r>
        <w:rPr>
          <w:color w:val="555555"/>
          <w:sz w:val="18"/>
        </w:rPr>
        <w:t xml:space="preserve">Viertes Gesetz zur landesweiten Gemeindegebietsreform betreffend die Landkreise Havelland, Potsdam-Mittelmark, Teltow-Fläming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Nitzahn wird in die zum Tag der nächsten</w:t>
      </w:r>
    </w:p>
    <w:p>
      <w:r>
        <w:t xml:space="preserve">landesweiten Kommunalwahlen neu gebildete Gemeinde Milower Land eingegliedert.</w:t>
      </w:r>
    </w:p>
    <w:p>
      <w:r>
        <w:t xml:space="preserve">(2) Das Amt Milow wird aufgelöst. Die Gemeinde Milower</w:t>
      </w:r>
    </w:p>
    <w:p>
      <w:r>
        <w:t xml:space="preserve">Land ist amtsfrei.</w:t>
      </w:r>
    </w:p>
    <w:p>
      <w:r>
        <w:rPr>
          <w:color w:val="555555"/>
          <w:sz w:val="17"/>
        </w:rPr>
        <w:t xml:space="preserve">Zitiervorschlag: § 4 4.GemGebRefGBbg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https://recht.nulegal.eu/gesetze/4.GemGebRefGBbg/4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