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4.GemGebRefGBbg (Brandenburg) — Bestätigung von Gemeindegebietsänderungen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Verletzung von Form- und Verfahrensvorschriften bei der</w:t>
      </w:r>
    </w:p>
    <w:p>
      <w:r>
        <w:t xml:space="preserve">Neubildung und Erweiterung von Gemeinden aufgrund freiwilliger</w:t>
      </w:r>
    </w:p>
    <w:p>
      <w:r>
        <w:t xml:space="preserve">Gebietsänderungsverträge, die in der Zeit zwischen dem 3. Oktober</w:t>
      </w:r>
    </w:p>
    <w:p>
      <w:r>
        <w:t xml:space="preserve">1990 und dem 20. Februar 2003 geschlossen worden sind, ist unbeachtlich, sofern</w:t>
      </w:r>
    </w:p>
    <w:p>
      <w:r>
        <w:t xml:space="preserve">die Verträge von den beteiligten Gemeinden hinsichtlich des gebietlichen</w:t>
      </w:r>
    </w:p>
    <w:p>
      <w:r>
        <w:t xml:space="preserve">Umfanges vollzogen worden sind oder die Gebietsänderungen nach</w:t>
      </w:r>
    </w:p>
    <w:p>
      <w:r>
        <w:t xml:space="preserve">Maßgabe der Genehmigungen des Ministeriums des Innern zwischen dem 20.</w:t>
      </w:r>
    </w:p>
    <w:p>
      <w:r>
        <w:t xml:space="preserve">Februar 2003 bis zu dem Tage der nächsten landesweiten Kommunalwahlen</w:t>
      </w:r>
    </w:p>
    <w:p>
      <w:r>
        <w:t xml:space="preserve">wirksam werden. Form- und Verfahrensvorschriften im Sinne des Satzes 1 sind</w:t>
      </w:r>
    </w:p>
    <w:p>
      <w:r>
        <w:t xml:space="preserve">insbesondere Vorschriften über die öffentliche Bekanntmachung des</w:t>
      </w:r>
    </w:p>
    <w:p>
      <w:r>
        <w:t xml:space="preserve">Gebietsänderungsvertrages und seiner Genehmigung. Die zwischen dem 3.</w:t>
      </w:r>
    </w:p>
    <w:p>
      <w:r>
        <w:t xml:space="preserve">Oktober 1990 und dem 20. Februar 2003 zwischen Gemeinden des Landes Brandenburg</w:t>
      </w:r>
    </w:p>
    <w:p>
      <w:r>
        <w:t xml:space="preserve">geschlossenen Gebietsänderungsverträge werden im Umfang der</w:t>
      </w:r>
    </w:p>
    <w:p>
      <w:r>
        <w:t xml:space="preserve">Genehmigungen des Ministeriums des Innern bestätigt.</w:t>
      </w:r>
    </w:p>
    <w:p>
      <w:r>
        <w:t xml:space="preserve">(2) Absatz 1 gilt für die Bildung, Änderung oder</w:t>
      </w:r>
    </w:p>
    <w:p>
      <w:r>
        <w:t xml:space="preserve">Auflösung von Ämtern entsprechend.</w:t>
      </w:r>
    </w:p>
    <w:p>
      <w:r>
        <w:t xml:space="preserve">(3) Die Landkreise Havelland, Potsdam-Mittelmark und</w:t>
      </w:r>
    </w:p>
    <w:p>
      <w:r>
        <w:t xml:space="preserve">Teltow-Fläming des Landes Brandenburg bestehen zum Tage der nächsten</w:t>
      </w:r>
    </w:p>
    <w:p>
      <w:r>
        <w:t xml:space="preserve">landesweiten Kommunalwahlen vor dem Wirksamwerden der gesetzlichen</w:t>
      </w:r>
    </w:p>
    <w:p>
      <w:r>
        <w:t xml:space="preserve">Neugliederungsregelungen aus den in der Anlage zu diesem Gesetz</w:t>
      </w:r>
    </w:p>
    <w:p>
      <w:r>
        <w:t xml:space="preserve">aufgeführten Gemeinden und Ämtern.</w:t>
      </w:r>
    </w:p>
    <w:p>
      <w:r>
        <w:rPr>
          <w:color w:val="555555"/>
          <w:sz w:val="17"/>
        </w:rPr>
        <w:t xml:space="preserve">Zitiervorschlag: § 35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