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4.GemGebRefGBbg (Brandenburg) — Wahlgebiet</w:t>
      </w:r>
    </w:p>
    <w:p>
      <w:r>
        <w:rPr>
          <w:color w:val="555555"/>
          <w:sz w:val="18"/>
        </w:rPr>
        <w:t xml:space="preserve">Viertes Gesetz zur landesweiten Gemeindegebietsreform betreffend die Landkreise Havelland, Potsdam-Mittelmark, Teltow-Fläming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Wahlgebiet im Sinne des § 3 Abs. 3 des Brandenburgischen</w:t>
      </w:r>
    </w:p>
    <w:p>
      <w:r>
        <w:t xml:space="preserve">Kommunalwahlgesetzes ist für die neu gebildete oder durch Eingliederung</w:t>
      </w:r>
    </w:p>
    <w:p>
      <w:r>
        <w:t xml:space="preserve">erweiterte Gemeinde das am Tage der landesweiten Kommunalwahlen 2003</w:t>
      </w:r>
    </w:p>
    <w:p>
      <w:r>
        <w:t xml:space="preserve">entstandene Gebiet.</w:t>
      </w:r>
    </w:p>
    <w:p>
      <w:r>
        <w:rPr>
          <w:color w:val="555555"/>
          <w:sz w:val="17"/>
        </w:rPr>
        <w:t xml:space="preserve">Zitiervorschlag: § 32 4.GemGebRefGBbg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https://recht.nulegal.eu/gesetze/4.GemGebRefGBbg/32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