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4.GemGebRefGBbg (Brandenburg) — Verwaltungseinheit Amt Ketzin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Falkenrehde, Tremmen und Zachow werden in die</w:t>
      </w:r>
    </w:p>
    <w:p>
      <w:r>
        <w:t xml:space="preserve">Stadt Ketzin eingegliedert.</w:t>
      </w:r>
    </w:p>
    <w:p>
      <w:r>
        <w:t xml:space="preserve">(2) Das Amt Ketzin wird aufgelöst. Die Stadt Ketzin ist</w:t>
      </w:r>
    </w:p>
    <w:p>
      <w:r>
        <w:t xml:space="preserve">amtsfrei.</w:t>
      </w:r>
    </w:p>
    <w:p>
      <w:r>
        <w:rPr>
          <w:color w:val="555555"/>
          <w:sz w:val="17"/>
        </w:rPr>
        <w:t xml:space="preserve">Zitiervorschlag: § 3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