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4.GemGebRefGBbg (Brandenburg) — Verwaltungseinheiten Amt Friesack und Gemeinden Retzow und Selbelang des Amtes Nauen-Land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den Gemeinden Brädikow, Vietznitz und Warsow wird</w:t>
      </w:r>
    </w:p>
    <w:p>
      <w:r>
        <w:t xml:space="preserve">die neue Gemeinde Jahnberge gebildet.</w:t>
      </w:r>
    </w:p>
    <w:p>
      <w:r>
        <w:t xml:space="preserve">(2) Die Gemeinde Selbelang wird in die dem Amt Friesack</w:t>
      </w:r>
    </w:p>
    <w:p>
      <w:r>
        <w:t xml:space="preserve">angehörende Gemeinde Paulinenaue eingegliedert.</w:t>
      </w:r>
    </w:p>
    <w:p>
      <w:r>
        <w:t xml:space="preserve">(3) Die Gemeinde Retzow wird dem Amt Friesack zugeordnet.</w:t>
      </w:r>
    </w:p>
    <w:p>
      <w:r>
        <w:rPr>
          <w:color w:val="555555"/>
          <w:sz w:val="17"/>
        </w:rPr>
        <w:t xml:space="preserve">Zitiervorschlag: § 2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