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4.GemGebRefGBbg (Brandenburg) — Verwaltungseinheit Amt Rangsdorf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Groß Machnow wird in die Gemeinde</w:t>
      </w:r>
    </w:p>
    <w:p>
      <w:r>
        <w:t xml:space="preserve">Rangsdorf eingegliedert.</w:t>
      </w:r>
    </w:p>
    <w:p>
      <w:r>
        <w:t xml:space="preserve">(2) Das Amt Rangsdorf wird aufgelöst. Die Gemeinde</w:t>
      </w:r>
    </w:p>
    <w:p>
      <w:r>
        <w:t xml:space="preserve">Rangsdorf ist amtsfrei.</w:t>
      </w:r>
    </w:p>
    <w:p>
      <w:r>
        <w:rPr>
          <w:color w:val="555555"/>
          <w:sz w:val="17"/>
        </w:rPr>
        <w:t xml:space="preserve">Zitiervorschlag: § 17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